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BB7B33" w:rsidRPr="00BB7B33"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8"/>
        <w:gridCol w:w="6229"/>
      </w:tblGrid>
      <w:tr w:rsidTr="00E55EC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76"/>
        </w:trPr>
        <w:tc>
          <w:tcPr>
            <w:tcW w:w="3178" w:type="dxa"/>
          </w:tcPr>
          <w:p w:rsidR="00BB7B33" w:rsidRPr="00BB7B33"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simplePos="0" relativeHeight="251658240" behindDoc="1" locked="0" layoutInCell="1" allowOverlap="1">
                  <wp:simplePos x="0" y="0"/>
                  <wp:positionH relativeFrom="page">
                    <wp:align>center</wp:align>
                  </wp:positionH>
                  <wp:positionV relativeFrom="paragraph">
                    <wp:posOffset>0</wp:posOffset>
                  </wp:positionV>
                  <wp:extent cx="1428949" cy="1428949"/>
                  <wp:wrapNone/>
                  <wp:docPr id="100014" name=""/>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xmlns:r="http://schemas.openxmlformats.org/officeDocument/2006/relationships" r:embed="rId8"/>
                          <a:stretch>
                            <a:fillRect/>
                          </a:stretch>
                        </pic:blipFill>
                        <pic:spPr>
                          <a:xfrm>
                            <a:off x="0" y="0"/>
                            <a:ext cx="1428949" cy="1428949"/>
                          </a:xfrm>
                          <a:prstGeom prst="rect">
                            <a:avLst/>
                          </a:prstGeom>
                        </pic:spPr>
                      </pic:pic>
                    </a:graphicData>
                  </a:graphic>
                </wp:anchor>
              </w:drawing>
            </w:r>
          </w:p>
        </w:tc>
        <w:tc>
          <w:tcPr>
            <w:tcW w:w="6229" w:type="dxa"/>
          </w:tcPr>
          <w:p w:rsidR="00BB7B33" w:rsidRPr="00BB7B33"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3857625"/>
                              </a:xfrm>
                              <a:prstGeom prst="rect">
                                <a:avLst/>
                              </a:prstGeom>
                              <a:noFill/>
                              <a:ln>
                                <a:noFill/>
                              </a:ln>
                              <a:extLst>
                                <a:ext xmlns:a="http://schemas.openxmlformats.org/drawingml/2006/main" uri="{909E8E84-426E-40DD-AFC4-6F175D3DCCD1}">
                                  <a14:hiddenFill xmlns:a14="http://schemas.microsoft.com/office/drawing/2010/main">
                                    <a:solidFill>
                                      <a:schemeClr val="lt1">
                                        <a:lumMod val="100000"/>
                                        <a:lumOff val="0"/>
                                      </a:schemeClr>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20 April 2026 at 07:19 PM by Craig Irvine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20 April 2026 at 07:19 PM by Craig Irvine (Principal)</w:t>
                                        </w:r>
                                      </w:p>
                                    </w:tc>
                                  </w:tr>
                                </w:tbl>
                                <w:p w:rsidR="00BB7B33" w:rsidP="00BB7B33"/>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height:303.75pt;margin-left:-164.9pt;margin-top:180.2pt;mso-height-percent:0;mso-height-relative:margin;mso-position-horizontal-relative:margin;mso-width-percent:0;mso-width-relative:margin;mso-wrap-distance-bottom:0;mso-wrap-distance-left:9pt;mso-wrap-distance-right:9pt;mso-wrap-distance-top:0;position:absolute;width:544.5pt;z-index:251659264" filled="f" fillcolor="this" stroked="f">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20 April 2026 at 07:19 PM by Craig Irvine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20 April 2026 at 07:19 PM by Craig Irvine (Principal)</w:t>
                                  </w:r>
                                </w:p>
                              </w:tc>
                            </w:tr>
                          </w:tbl>
                          <w:p w:rsidR="00BB7B33" w:rsidP="00BB7B33"/>
                        </w:txbxContent>
                      </v:textbox>
                      <w10:wrap anchorx="margin"/>
                    </v:shape>
                  </w:pict>
                </mc:Fallback>
              </mc:AlternateContent>
            </w:r>
          </w:p>
        </w:tc>
      </w:tr>
    </w:tbl>
    <w:p w:rsidR="00BB7B33" w:rsidRPr="00BB7B33" w:rsidP="00A56AED">
      <w:pPr>
        <w:pStyle w:val="Heading2"/>
        <w:rPr>
          <w:rFonts w:eastAsia="MS Mincho"/>
        </w:rPr>
      </w:pPr>
      <w:r w:rsidRPr="00BB7B33">
        <w:rPr>
          <w:rFonts w:eastAsia="MS Mincho"/>
          <w:noProof/>
        </w:rPr>
        <w:t xml:space="preserve">School Name: </w:t>
      </w:r>
      <w:r w:rsidRPr="00BB7B33">
        <w:rPr>
          <w:rFonts w:eastAsia="MS Mincho"/>
          <w:noProof/>
        </w:rPr>
        <w:t>Yea Primary School (0699)</w:t>
      </w:r>
    </w:p>
    <w:p w:rsidR="00BB7B33" w:rsidRPr="00BB7B33" w:rsidP="00BB7B33">
      <w:pPr>
        <w:spacing w:before="0"/>
        <w:ind w:right="419"/>
        <w:rPr>
          <w:rFonts w:ascii="Arial" w:eastAsia="MS Mincho" w:hAnsi="Arial" w:cs="Arial"/>
          <w:color w:val="FFFFFF"/>
          <w:sz w:val="36"/>
          <w:szCs w:val="36"/>
        </w:rPr>
      </w:pPr>
    </w:p>
    <w:p w:rsidR="00BB7B33" w:rsidRPr="00BB7B33" w:rsidP="00BB7B33">
      <w:pPr>
        <w:spacing w:before="0"/>
        <w:ind w:left="540" w:right="419"/>
        <w:rPr>
          <w:rFonts w:ascii="Arial" w:eastAsia="MS Mincho" w:hAnsi="Arial" w:cs="Arial"/>
          <w:color w:val="595959"/>
          <w:sz w:val="18"/>
          <w:szCs w:val="18"/>
        </w:rPr>
      </w:pPr>
    </w:p>
    <w:p w:rsidR="00BB7B33" w:rsidP="00BB7B33">
      <w:pPr>
        <w:keepNext/>
        <w:keepLines/>
        <w:spacing w:before="240"/>
        <w:jc w:val="center"/>
        <w:outlineLvl w:val="0"/>
        <w:rPr>
          <w:rFonts w:ascii="Arial" w:eastAsia="MS Mincho" w:hAnsi="Arial" w:cs="Arial"/>
          <w:color w:val="595959"/>
          <w:sz w:val="18"/>
          <w:szCs w:val="18"/>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rsidR="006364DC" w:rsidRPr="006364DC" w:rsidP="006364DC">
      <w:pPr>
        <w:tabs>
          <w:tab w:val="left" w:pos="6705"/>
        </w:tabs>
        <w:rPr>
          <w:rFonts w:ascii="Arial" w:eastAsia="MS Gothic" w:hAnsi="Arial" w:cs="Times New Roman"/>
        </w:rPr>
        <w:sectPr w:rsidSect="00CB36E6">
          <w:headerReference w:type="even" r:id="rId9"/>
          <w:headerReference w:type="default" r:id="rId10"/>
          <w:footerReference w:type="even" r:id="rId11"/>
          <w:footerReference w:type="default" r:id="rId12"/>
          <w:headerReference w:type="first" r:id="rId13"/>
          <w:footerReference w:type="first" r:id="rId14"/>
          <w:pgSz w:w="11906" w:h="16838" w:code="9"/>
          <w:pgMar w:top="2914" w:right="567" w:bottom="1701" w:left="567" w:header="0" w:footer="0" w:gutter="0"/>
          <w:cols w:space="397"/>
          <w:docGrid w:linePitch="360"/>
        </w:sectPr>
      </w:pPr>
    </w:p>
    <w:p>
      <w:pPr>
        <w:pStyle w:val="Heading10"/>
      </w:pPr>
      <w:bookmarkStart w:id="1" w:name="how-to-read-the-annual-report"/>
      <w:r>
        <w:t>How to read the Annual Report</w:t>
      </w:r>
    </w:p>
    <w:p>
      <w:pPr>
        <w:pStyle w:val="Heading20"/>
      </w:pPr>
      <w:bookmarkStart w:id="2" w:name="X7dae053837fd441fc10137421ccd7c20cf0e4c4"/>
      <w:r>
        <w:t>What does the</w:t>
      </w:r>
      <w:r>
        <w:t xml:space="preserve"> </w:t>
      </w:r>
      <w:r>
        <w:rPr>
          <w:i/>
          <w:iCs/>
        </w:rPr>
        <w:t>About Our School</w:t>
      </w:r>
      <w:r>
        <w:t xml:space="preserve"> </w:t>
      </w:r>
      <w:r>
        <w:t>commentary section of this report refer to?</w:t>
      </w:r>
    </w:p>
    <w:p>
      <w:r>
        <w:t>The</w:t>
      </w:r>
      <w:r>
        <w:t xml:space="preserve"> </w:t>
      </w:r>
      <w:r>
        <w:t>‘About our school’</w:t>
      </w:r>
      <w:r>
        <w:t xml:space="preserve"> </w:t>
      </w:r>
      <w:r>
        <w:t>commentary provides a brief background on the school and an overview of the school’s performance over the previous calendar year.</w:t>
      </w:r>
    </w:p>
    <w:p>
      <w:r>
        <w:t>The</w:t>
      </w:r>
      <w:r>
        <w:t xml:space="preserve"> </w:t>
      </w:r>
      <w:r>
        <w:t>‘School Context’</w:t>
      </w:r>
      <w:r>
        <w:t xml:space="preserve"> </w:t>
      </w:r>
      <w:r>
        <w:t>describes the school’s vision, values, and purpose. Details include the school’s geographic location, size and structure, social characteristics, enrolment characteristics, and special programs.</w:t>
      </w:r>
    </w:p>
    <w:p>
      <w:r>
        <w:t>The</w:t>
      </w:r>
      <w:r>
        <w:t xml:space="preserve"> </w:t>
      </w:r>
      <w:r>
        <w:t>‘Progress towards strategic goals, student outcomes, and student engagement’</w:t>
      </w:r>
      <w:r>
        <w:t xml:space="preserve"> </w:t>
      </w:r>
      <w:r>
        <w:t>section allows schools to reflect on highlights related to implementation of and progress towards the School Strategic Plan and Annual Implementation Plan, and efforts to improve student learning, wellbeing, and engagement.</w:t>
      </w:r>
    </w:p>
    <w:p>
      <w:pPr>
        <w:pStyle w:val="Heading20"/>
      </w:pPr>
      <w:bookmarkEnd w:id="2"/>
      <w:bookmarkStart w:id="3" w:name="X3f86002c48a0a3de82aada63598aa289f3922b4"/>
      <w:r>
        <w:t>What does the</w:t>
      </w:r>
      <w:r>
        <w:t xml:space="preserve"> </w:t>
      </w:r>
      <w:r>
        <w:t>‘Performance Summary’</w:t>
      </w:r>
      <w:r>
        <w:t xml:space="preserve"> </w:t>
      </w:r>
      <w:r>
        <w:t>section of this report refer to?</w:t>
      </w:r>
    </w:p>
    <w:p>
      <w:r>
        <w:t>The Performance Summary includes the following:</w:t>
      </w:r>
    </w:p>
    <w:p>
      <w:pPr>
        <w:numPr>
          <w:ilvl w:val="0"/>
          <w:numId w:val="24"/>
        </w:numPr>
      </w:pPr>
      <w:r>
        <w:t>School Profile</w:t>
      </w:r>
    </w:p>
    <w:p>
      <w:pPr>
        <w:numPr>
          <w:ilvl w:val="1"/>
          <w:numId w:val="25"/>
        </w:numPr>
      </w:pPr>
      <w:r>
        <w:t>student enrolment information</w:t>
      </w:r>
    </w:p>
    <w:p>
      <w:pPr>
        <w:numPr>
          <w:ilvl w:val="1"/>
          <w:numId w:val="25"/>
        </w:numPr>
      </w:pPr>
      <w:r>
        <w:t>the school’s</w:t>
      </w:r>
      <w:r>
        <w:t xml:space="preserve"> </w:t>
      </w:r>
      <w:r>
        <w:t>‘Student Family Occupation and Education’</w:t>
      </w:r>
      <w:r>
        <w:t xml:space="preserve"> </w:t>
      </w:r>
      <w:r>
        <w:t>category</w:t>
      </w:r>
    </w:p>
    <w:p>
      <w:pPr>
        <w:numPr>
          <w:ilvl w:val="1"/>
          <w:numId w:val="25"/>
        </w:numPr>
      </w:pPr>
      <w:r>
        <w:t>responses to the General Satisfaction area of the Parent/Caregiver/Guardian Opinion Survey</w:t>
      </w:r>
    </w:p>
    <w:p>
      <w:pPr>
        <w:numPr>
          <w:ilvl w:val="1"/>
          <w:numId w:val="25"/>
        </w:numPr>
      </w:pPr>
      <w:r>
        <w:t>school staff responses to the School Climate area of the School Staff Survey</w:t>
      </w:r>
    </w:p>
    <w:p>
      <w:pPr>
        <w:numPr>
          <w:ilvl w:val="0"/>
          <w:numId w:val="24"/>
        </w:numPr>
      </w:pPr>
      <w:r>
        <w:t>Learning</w:t>
      </w:r>
    </w:p>
    <w:p>
      <w:pPr>
        <w:numPr>
          <w:ilvl w:val="1"/>
          <w:numId w:val="26"/>
        </w:numPr>
      </w:pPr>
      <w:r>
        <w:t>English and Mathematics for Teacher Judgements against the curriculum</w:t>
      </w:r>
    </w:p>
    <w:p>
      <w:pPr>
        <w:numPr>
          <w:ilvl w:val="1"/>
          <w:numId w:val="26"/>
        </w:numPr>
      </w:pPr>
      <w:r>
        <w:t>Reading and Numeracy proficiency levels for National Literacy and Numeracy tests (NAPLAN)</w:t>
      </w:r>
    </w:p>
    <w:p>
      <w:pPr>
        <w:numPr>
          <w:ilvl w:val="1"/>
          <w:numId w:val="26"/>
        </w:numPr>
      </w:pPr>
      <w:r>
        <w:t>Reading and Numeracy relative growth for National Literacy and Numeracy tests (NAPLAN)</w:t>
      </w:r>
    </w:p>
    <w:p>
      <w:pPr>
        <w:numPr>
          <w:ilvl w:val="0"/>
          <w:numId w:val="24"/>
        </w:numPr>
      </w:pPr>
      <w:r>
        <w:t>Wellbeing</w:t>
      </w:r>
    </w:p>
    <w:p>
      <w:pPr>
        <w:numPr>
          <w:ilvl w:val="1"/>
          <w:numId w:val="27"/>
        </w:numPr>
      </w:pPr>
      <w:r>
        <w:t>student responses to the Sense of Connectedness area in the Student Attitudes to School Survey</w:t>
      </w:r>
    </w:p>
    <w:p>
      <w:pPr>
        <w:numPr>
          <w:ilvl w:val="1"/>
          <w:numId w:val="27"/>
        </w:numPr>
      </w:pPr>
      <w:r>
        <w:t>student responses to the Management of Bullying area in the Student Attitudes to School Survey</w:t>
      </w:r>
    </w:p>
    <w:p>
      <w:pPr>
        <w:numPr>
          <w:ilvl w:val="0"/>
          <w:numId w:val="24"/>
        </w:numPr>
      </w:pPr>
      <w:r>
        <w:t>Engagement</w:t>
      </w:r>
    </w:p>
    <w:p>
      <w:pPr>
        <w:numPr>
          <w:ilvl w:val="1"/>
          <w:numId w:val="28"/>
        </w:numPr>
      </w:pPr>
      <w:r>
        <w:t>average absence days per student</w:t>
      </w:r>
    </w:p>
    <w:p>
      <w:pPr>
        <w:numPr>
          <w:ilvl w:val="1"/>
          <w:numId w:val="28"/>
        </w:numPr>
      </w:pPr>
      <w:r>
        <w:t>student attendance rate</w:t>
      </w:r>
    </w:p>
    <w:p>
      <w:r>
        <w:t>Key terms used in the Performance Summary are defined below:</w:t>
      </w:r>
    </w:p>
    <w:p>
      <w:pPr>
        <w:pStyle w:val="Heading30"/>
      </w:pPr>
      <w:bookmarkStart w:id="4" w:name="similar-schools"/>
      <w:r>
        <w:t>Similar Schools</w:t>
      </w:r>
    </w:p>
    <w:p>
      <w:r>
        <w:t>Similar Schools are a group of Victorian government schools with similar characteristics to the school.</w:t>
      </w:r>
    </w:p>
    <w:p>
      <w:r>
        <w:t>This grouping of schools has been created by comparing each school’s socio-economic background of students, the number of non-English speaking students and the school’s size and location.</w:t>
      </w:r>
    </w:p>
    <w:p>
      <w:pPr>
        <w:pStyle w:val="Heading30"/>
      </w:pPr>
      <w:bookmarkEnd w:id="4"/>
      <w:bookmarkStart w:id="5" w:name="ndp-and-nda"/>
      <w:r>
        <w:t>NDP and NDA</w:t>
      </w:r>
    </w:p>
    <w:p>
      <w:r>
        <w:t>‘NDP’</w:t>
      </w:r>
      <w:r>
        <w:t xml:space="preserve"> </w:t>
      </w:r>
      <w:r>
        <w:t>refers to no data being published for privacy reasons or where there are insufficient underlying data. For example, very low numbers of participants or characteristics that may lead to identification will result in an</w:t>
      </w:r>
      <w:r>
        <w:t xml:space="preserve"> </w:t>
      </w:r>
      <w:r>
        <w:t>‘NDP’</w:t>
      </w:r>
      <w:r>
        <w:t xml:space="preserve"> </w:t>
      </w:r>
      <w:r>
        <w:t>label.</w:t>
      </w:r>
    </w:p>
    <w:p>
      <w:r>
        <w:t>‘NDA’</w:t>
      </w:r>
      <w:r>
        <w:t xml:space="preserve"> </w:t>
      </w:r>
      <w:r>
        <w:t>refers to no data being available. Some schools have no data for particular measures due to low enrolments. There may be no students enrolled in some year levels, so school comparisons are not possible.</w:t>
      </w:r>
    </w:p>
    <w:p>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pPr>
        <w:pStyle w:val="Heading30"/>
      </w:pPr>
      <w:bookmarkEnd w:id="5"/>
      <w:bookmarkStart w:id="6" w:name="the-victorian-curriculum"/>
      <w:r>
        <w:t>The Victorian Curriculum</w:t>
      </w:r>
    </w:p>
    <w:p>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r>
        <w:t>The Victorian Curriculum is assessed through teacher judgements of student achievement based on classroom learning.</w:t>
      </w:r>
    </w:p>
    <w:p>
      <w:r>
        <w:t>The curriculum has been developed to ensure that school subjects and their achievement standards enable continuous learning for all students, including students with disabilities.</w:t>
      </w:r>
    </w:p>
    <w:p>
      <w:r>
        <w:t>The</w:t>
      </w:r>
      <w:r>
        <w:t xml:space="preserve"> </w:t>
      </w:r>
      <w:r>
        <w:t>‘Towards Foundation Level Victorian Curriculum’</w:t>
      </w:r>
      <w:r>
        <w:t xml:space="preserve"> </w:t>
      </w:r>
      <w:r>
        <w:t>is integrated directly into the curriculum and is referred to as</w:t>
      </w:r>
      <w:r>
        <w:t xml:space="preserve"> </w:t>
      </w:r>
      <w:r>
        <w:t>‘Levels A to D’</w:t>
      </w:r>
      <w:r>
        <w:t>.</w:t>
      </w:r>
      <w:r>
        <w:t xml:space="preserve"> </w:t>
      </w:r>
      <w:r>
        <w:t>‘Levels A to D’</w:t>
      </w:r>
      <w:r>
        <w:t xml:space="preserve"> </w:t>
      </w:r>
      <w:r>
        <w:t>may be used for students with disabilities or students who may have additional learning needs. These levels are not associated with any set age or year level that links chronological age to cognitive progress (i.e., there is no age expected standard of achievement for</w:t>
      </w:r>
      <w:r>
        <w:t xml:space="preserve"> </w:t>
      </w:r>
      <w:r>
        <w:t>‘Levels A to D’</w:t>
      </w:r>
      <w:r>
        <w:t>).</w:t>
      </w:r>
    </w:p>
    <w:p>
      <w:pPr>
        <w:pStyle w:val="Heading20"/>
      </w:pPr>
      <w:bookmarkEnd w:id="6"/>
      <w:bookmarkEnd w:id="3"/>
      <w:bookmarkStart w:id="7" w:name="X6752e4e4dcbe51ad748a17b48e3170688bc559d"/>
      <w:r>
        <w:t>Updates to the</w:t>
      </w:r>
      <w:r>
        <w:t xml:space="preserve"> </w:t>
      </w:r>
      <w:r>
        <w:t>‘Performance Summary’</w:t>
      </w:r>
      <w:r>
        <w:t xml:space="preserve"> </w:t>
      </w:r>
      <w:r>
        <w:t>in the 2025 Annual Report</w:t>
      </w:r>
    </w:p>
    <w:p>
      <w:r>
        <w:t>NAPLAN relative growth data has been included in the 2025 Performance Summary as there is sufficient data available for the comparison.</w:t>
      </w:r>
    </w:p>
    <w:p>
      <w:pPr>
        <w:sectPr>
          <w:type w:val="nextPage"/>
          <w:pgSz w:w="11906" w:h="16838" w:orient="portrait"/>
          <w:pgMar w:top="1134" w:right="567" w:bottom="1701" w:left="567" w:header="0" w:footer="708" w:gutter="0"/>
          <w:cols w:space="720"/>
        </w:sectPr>
      </w:pPr>
    </w:p>
    <w:p w:rsidR="00BB7B33" w:rsidP="00635A6B">
      <w:pPr>
        <w:pStyle w:val="Heading1"/>
        <w:rPr>
          <w:rFonts w:eastAsia="MS Mincho"/>
        </w:rPr>
      </w:pPr>
      <w:r w:rsidRPr="00BB7B33">
        <w:rPr>
          <w:rFonts w:eastAsia="MS Mincho"/>
        </w:rPr>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Tr="009B729F">
        <w:tblPrEx>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1" w:type="dxa"/>
            <w:tcBorders>
              <w:left w:val="none" w:sz="0" w:space="0" w:color="auto"/>
              <w:right w:val="none" w:sz="0" w:space="0" w:color="auto"/>
            </w:tcBorders>
            <w:shd w:val="clear" w:color="auto" w:fill="auto"/>
          </w:tcPr>
          <w:p w:rsidR="00A56AED" w:rsidRPr="00A56AED" w:rsidP="00A56AED">
            <w:pPr>
              <w:pStyle w:val="Heading2"/>
              <w:rPr>
                <w:b w:val="0"/>
                <w:bCs w:val="0"/>
              </w:rPr>
            </w:pPr>
            <w:r w:rsidRPr="00A56AED">
              <w:rPr>
                <w:b w:val="0"/>
                <w:bCs w:val="0"/>
              </w:rPr>
              <w:t>School context</w:t>
            </w:r>
          </w:p>
        </w:tc>
      </w:tr>
      <w:tr w:rsidTr="009B729F">
        <w:tblPrEx>
          <w:tblW w:w="9781" w:type="dxa"/>
          <w:tblInd w:w="-147" w:type="dxa"/>
          <w:tblLook w:val="04A0"/>
        </w:tblPrEx>
        <w:tc>
          <w:tcPr>
            <w:tcW w:w="9781" w:type="dxa"/>
            <w:shd w:val="clear" w:color="auto" w:fill="auto"/>
          </w:tcPr>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Yea Primary School is a small rural school located in the township of Yea, approximately 100 kilometres north-east of Melbourne. The school serves a close-knit community and plays an important role in supporting both the educational and social development of its students. In 2025, the school had an enrolment of 123 students, supported by a dedicated team of teaching and education support staff.</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The school is committed to providing a safe, inclusive and engaging learning environment where all students are supported to achieve their personal best. Our vision is underpinned by a strong focus on respect, responsibility and resilience, with an emphasis on developing confident, capable learners who are well prepared for their future pathways.</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Yea Primary School operates with a flexible classroom structure designed to maximise learning opportunities and support individual student needs. Specialist programs, including Physical Education, Visual Arts and Auslan, complement a strong focus on literacy and numeracy. The school continues to implement evidence-based teaching practices and structured approaches to curriculum delivery to ensure clarity and consistency across all classrooms.</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The school community is characterised by strong relationships between staff, students and families. These partnerships support a culture of high expectations and continuous improvement. The school’s Student Family Occupation and Education (SFOE) index is in the Low–Medium range, reflecting a diverse community with varying levels of socio-educational advantage.</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Yea Primary School also places a strong emphasis on student wellbeing through the implementation of School Wide Positive Behaviour Supports (SWPBS) and a range of targeted wellbeing initiatives. These structures ensure that all students are supported both academically and socially, contributing to a positive and inclusive school culture.</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Through a commitment to continuous improvement and strong community engagement, Yea Primary School continues to provide high-quality, inclusive educational opportunities for all students.</w:t>
            </w:r>
          </w:p>
          <w:p w:rsidR="00A56AED" w:rsidRPr="00A56AED"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A56AED" w:rsidP="00A56AED">
            <w:pPr>
              <w:pStyle w:val="Heading2"/>
              <w:rPr>
                <w:bCs w:val="0"/>
              </w:rPr>
            </w:pPr>
            <w:r w:rsidRPr="00BB7B33">
              <w:rPr>
                <w:rFonts w:eastAsia="MS Gothic"/>
              </w:rPr>
              <w:t>Progress towards strategic goals, student outcomes and student engagement</w:t>
            </w: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Learning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2025, Yea Primary School made strong progress towards its goal of improving student achievement and growth in literacy and numeracy, with all planned Annual Implementation Plan (AIP) actions implemented with fidelity. This work has resulted in greater consistency of teaching practice, improved curriculum alignment and strengthened use of data to inform decision making across the school. This work has been externally recognised for its clarity, consistency and strong alignment between curriculum, instruction and assessment.</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 key focus has been the development of a coherent whole-school approach to teaching and learning. The alignment of curriculum documentation, including yearly overviews, unit plans and planning templates, has ensured clarity in what is taught, while agreed instructional models provide a consistent framework for how teaching is delivered. These approaches, aligned with the Victorian Teaching and Learning Model (VTLM 2.0) and Victorian Curriculum 2.0, have strengthened instructional practice and supported high levels of consistency across classrooms.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Staff engagement in a structured and evidence-based professional learning program has enhanced teacher capability, with a strong focus on explicit instruction, cognitive load and differentiated teaching. Data is consistently used at a whole-school, classroom and individual level to drive targeted teaching and intervention. Literacy screening processes and intervention programs, including MiniLit and MacqLit, are highly responsive and have contributed to a reduction in the number of students requiring additional support.</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 achievement outcomes remain a strength, with 88% of students achieving at or above expected standards in English and 85.9% in Mathematics. NAPLAN results reflect strong performance, particularly in Year 3 Reading and Writing and Year 5 Reading and Numeracy, with targets largely met or maintained. School-based assessment data, including PAT measures, also demonstrate continued improvement in student achievement over time.</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While achievement outcomes are strong, the school has identified student growth as a continued area for focus. Refinements to formative assessment practices, intervention models and PLC structures will support a sharper focus on ensuring all students achieve at least 12 months growth in a year. Yea Primary School is well positioned to sustain improvement through its strong culture of professional learning, clear instructional practices and commitment to continuous improvement.</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Wellbeing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2025, Yea Primary School made strong progress towards enhancing student engagement and wellbeing outcomes, with a continued focus on embedding consistent, whole-school approaches to wellbeing and inclusion. This work was underpinned by the school’s Annual Implementation Plan and supported through clear systems, strong leadership and targeted resourcing.</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 key priority was the implementation of a comprehensive Social and Emotional Learning (SEL) program, supported by structured planning, professional learning and dedicated time within Professional Learning Communities. This ensured that wellbeing curriculum delivery was consistent across all classrooms. Students demonstrated increased confidence in identifying support networks and applying the language of social and emotional learning in their daily interactions.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School Wide Positive Behaviour Supports (SWPBS) continued to be embedded as a core framework for promoting positive behaviour and engagement. Consistent expectations, visible practices and strong staff understanding have contributed to a calm, orderly and inclusive learning environment. Universal supports are clearly evident across the school, and wellbeing practices are reinforced through regular wellbeing walks and ongoing staff reflection.</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Wellbeing data reflects the positive impact of this work. The school met its targets across key Attitudes to School Survey (AtoSS) factors, including stimulated learning, sense of connectedness, managing bullying and effective classroom behaviour. School Staff Survey results also remained strong, reflecting high levels of collective efficacy, collaboration and instructional leadership.</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Significant progress has also been made in strengthening inclusive practices, including preparation for Disability Inclusion Profiles (DIP) and the implementation of consistent processes for adjustments and student support. The strategic deployment and development of Education Support staff has further enhanced the school’s capacity to respond to individual student needs.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Attendance remains an area of ongoing focus. While targets were not fully met, the school has implemented a consistent and staged approach to monitoring and responding to student absence, with early signs of improvement beginning to emerge.</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Through a strong focus on inclusion, consistency and data-informed practice, Yea Primary School continues to build a positive and supportive environment where all students are known, supported and able to engage successfully in their learning.</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Engagement</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2025, Yea Primary School continued to strengthen student engagement through a deliberate focus on inclusive practices, student voice and consistent approaches to attendance and participation. Engagement remains a key enabler of both student learning and wellbeing, and has been a central focus of the school’s improvement work.</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 attendance has been closely monitored throughout the year, with a clear and staged response implemented to support improved attendance outcomes. While the school did not fully meet its attendance targets, there is evidence that the consistent use of attendance tracking processes, individualised support plans and proactive communication with families is beginning to positively impact attendance patterns. The school remains committed to reducing the number of students with high levels of absence and will continue to refine its approach in 2026.</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 key highlight has been the continued development of student voice and agency across the school. Students are increasingly able to articulate their learning goals, understand their next steps and contribute meaningfully to decisions that impact their school experience. Opportunities for student leadership and participation have been strengthened, supporting a greater sense of ownership and connection to the school.</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Strong engagement is also supported through a positive and predictable learning environment, with clear expectations and consistent routines enabling students to feel safe, supported and ready to learn. This is reflected in strong Attitudes to School Survey (AtoSS) results, particularly in areas related to stimulated learning and sense of connectedness.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addition, the school has provided a range of opportunities for students to engage in extracurricular activities and broader school experiences, further strengthening student connection and participation. The establishment of the Welfare and Inclusion Fund has meant that no student at Yea Primary School has missed out on participating on an event for financial reasons in 2025.</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Yea Primary School will continue to build on these foundations, with a focus on improving attendance outcomes and further enhancing student voice and agency to support sustained engagement for all students.</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Other highlights from the school year</w:t>
            </w:r>
          </w:p>
        </w:tc>
      </w:tr>
      <w:tr w:rsidTr="009B729F">
        <w:tblPrEx>
          <w:tblW w:w="9781" w:type="dxa"/>
          <w:tblInd w:w="-147" w:type="dxa"/>
          <w:tblLook w:val="04A0"/>
        </w:tblPrEx>
        <w:tc>
          <w:tcPr>
            <w:tcW w:w="9781" w:type="dxa"/>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Yea Primary School experienced a highly successful and engaging year, with a range of initiatives that strengthened both student learning and community connection.</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 highlight of the year was the continued implementation of camps, excursions and incursions, providing students with valuable opportunities to extend their learning beyond the classroom. These experiences supported the development of independence, resilience and social skills, while enhancing engagement across all year levels.</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school also celebrated strong participation in whole-school events and community activities. Events such as school concerts, sporting activities and celebration days brought students, families and the wider community together, reinforcing the strong sense of connection that exists within the school.</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Sport continues to be a valued part of the Yea Primary School experience, with students demonstrating high levels of participation and enthusiasm across a range of interschool and local sporting events. These opportunities support teamwork, leadership and personal development.</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 significant development in 2025 was the establishment of a kindergarten on site, creating new opportunities for early engagement with families and strengthening transition pathways into the school. This initiative has further enhanced the school’s connection with the local community.</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Yea Primary School also continued to actively engage in network and system-wide initiatives, with staff sharing effective practices and contributing to broader professional learning. This reflects the school’s strong culture of collaboration and its contribution to the wider education community.</w:t>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Financial performance</w:t>
            </w:r>
          </w:p>
        </w:tc>
      </w:tr>
      <w:tr w:rsidTr="009B729F">
        <w:tblPrEx>
          <w:tblW w:w="9781" w:type="dxa"/>
          <w:tblInd w:w="-147" w:type="dxa"/>
          <w:tblLook w:val="04A0"/>
        </w:tblPrEx>
        <w:tc>
          <w:tcPr>
            <w:tcW w:w="9781" w:type="dxa"/>
            <w:shd w:val="clear" w:color="auto" w:fill="auto"/>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bCs/>
                <w:color w:val="auto"/>
                <w:sz w:val="22"/>
              </w:rPr>
              <w:t>Financial Performance</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Yea Primary School maintained a sound and stable financial position in 2025, with careful management of resources to support both teaching and learning priorities and student wellbeing initiatives. The school operated within its Student Resource Package and aligned expenditure closely to the priorities outlined in the Annual Implementation Plan.</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Funding received through the Student Resource Package was supplemented by equity funding, targeted initiatives and locally raised funds, which were used to support literacy and numeracy programs, wellbeing initiatives and the provision of additional support for students requiring adjustments. Additional resourcing was also allocated to strengthen Education Support staffing and enhance classroom resources.</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Throughout the year, School Council maintained oversight of financial planning and expenditure through the Sub-Finance Committee. There were no significant extraordinary revenue or expenditure items impacting the school’s financial position.</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school did not enter into any major contracts or long-term financial agreements beyond standard operational requirements. Overall, financial management processes remained consistent, transparent and aligned to supporting improved student outcomes.</w:t>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noWrap w:val="0"/>
          </w:tcPr>
          <w:p w:rsidR="00476100" w:rsidRPr="00BB7B33" w:rsidP="00476100"/>
          <w:p>
            <w:pPr>
              <w:jc w:val="center"/>
              <w:rPr>
                <w:rStyle w:val="DefaultParagraphFont"/>
                <w:rFonts w:ascii="Arial" w:eastAsia="Arial" w:hAnsi="Arial" w:cs="Arial"/>
                <w:sz w:val="22"/>
                <w:szCs w:val="22"/>
              </w:rPr>
            </w:pPr>
            <w:r>
              <w:rPr>
                <w:rStyle w:val="DefaultParagraphFont"/>
                <w:rFonts w:ascii="Arial" w:eastAsia="Arial" w:hAnsi="Arial" w:cs="Arial"/>
                <w:b/>
                <w:bCs/>
                <w:sz w:val="22"/>
                <w:szCs w:val="22"/>
              </w:rPr>
              <w:t xml:space="preserve">For more detailed information regarding our school please visit our website at </w:t>
            </w:r>
            <w:r>
              <w:rPr>
                <w:rStyle w:val="DefaultParagraphFont"/>
                <w:rFonts w:ascii="Arial" w:eastAsia="Arial" w:hAnsi="Arial" w:cs="Arial"/>
                <w:b/>
                <w:bCs/>
                <w:sz w:val="22"/>
                <w:szCs w:val="22"/>
              </w:rPr>
              <w:fldChar w:fldCharType="begin"/>
            </w:r>
            <w:r>
              <w:rPr>
                <w:rStyle w:val="DefaultParagraphFont"/>
                <w:rFonts w:ascii="Arial" w:eastAsia="Arial" w:hAnsi="Arial" w:cs="Arial"/>
                <w:b/>
                <w:bCs/>
                <w:sz w:val="22"/>
                <w:szCs w:val="22"/>
              </w:rPr>
              <w:instrText xml:space="preserve"> HYPERLINK "www.yeaps.vic.edu.au" </w:instrText>
            </w:r>
            <w:r>
              <w:rPr>
                <w:rStyle w:val="DefaultParagraphFont"/>
                <w:rFonts w:ascii="Arial" w:eastAsia="Arial" w:hAnsi="Arial" w:cs="Arial"/>
                <w:b/>
                <w:bCs/>
                <w:sz w:val="22"/>
                <w:szCs w:val="22"/>
              </w:rPr>
              <w:fldChar w:fldCharType="separate"/>
            </w:r>
            <w:r>
              <w:rPr>
                <w:rStyle w:val="DefaultParagraphFont"/>
                <w:rFonts w:ascii="Arial" w:eastAsia="Arial" w:hAnsi="Arial" w:cs="Arial"/>
                <w:b/>
                <w:bCs/>
                <w:sz w:val="22"/>
                <w:szCs w:val="22"/>
              </w:rPr>
              <w:t>www.yeaps.vic.edu.au</w:t>
            </w:r>
            <w:r>
              <w:rPr>
                <w:rStyle w:val="DefaultParagraphFont"/>
                <w:rFonts w:ascii="Arial" w:eastAsia="Arial" w:hAnsi="Arial" w:cs="Arial"/>
                <w:b/>
                <w:bCs/>
                <w:sz w:val="22"/>
                <w:szCs w:val="22"/>
              </w:rPr>
              <w:fldChar w:fldCharType="end"/>
            </w:r>
          </w:p>
          <w:p>
            <w:pPr>
              <w:rPr>
                <w:rFonts w:ascii="Arial" w:eastAsia="Arial" w:hAnsi="Arial" w:cs="Arial"/>
                <w:sz w:val="22"/>
              </w:rPr>
            </w:pPr>
          </w:p>
        </w:tc>
      </w:tr>
    </w:tbl>
    <w:p w:rsidR="0065776E" w:rsidP="004827CE">
      <w:pPr>
        <w:spacing w:before="0" w:after="0" w:line="240" w:lineRule="auto"/>
      </w:pPr>
    </w:p>
    <w:p w:rsidR="0065776E">
      <w:pPr>
        <w:spacing w:before="0" w:after="0" w:line="240" w:lineRule="auto"/>
      </w:pPr>
      <w:r>
        <w:br w:type="page"/>
      </w:r>
    </w:p>
    <w:p w:rsidR="00147B2E" w:rsidP="004827CE">
      <w:pPr>
        <w:spacing w:before="0" w:after="0" w:line="240" w:lineRule="auto"/>
        <w:sectPr w:rsidSect="0024636E">
          <w:pgSz w:w="11900" w:h="16840"/>
          <w:pgMar w:top="1882" w:right="567" w:bottom="1701" w:left="567" w:header="227" w:footer="0" w:gutter="0"/>
          <w:cols w:space="708"/>
          <w:docGrid w:linePitch="360"/>
        </w:sectPr>
      </w:pPr>
    </w:p>
    <w:p>
      <w:pPr>
        <w:pStyle w:val="Heading11"/>
      </w:pPr>
      <w:bookmarkEnd w:id="7"/>
      <w:bookmarkEnd w:id="1"/>
      <w:bookmarkStart w:id="8" w:name="performance-summary"/>
      <w:r>
        <w:t>PERFORMANCE SUMMARY</w:t>
      </w:r>
    </w:p>
    <w:p>
      <w:r>
        <w:t>The Performance Summary for government schools provides an overview of how this school is contributing to the objectives of the Education State and how it compares to other Victorian government schools.</w:t>
      </w:r>
    </w:p>
    <w:p>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r>
        <w:t>Refer to the</w:t>
      </w:r>
      <w:r>
        <w:t xml:space="preserve"> </w:t>
      </w:r>
      <w:r>
        <w:t>‘How to read the Annual Report’</w:t>
      </w:r>
      <w:r>
        <w:t xml:space="preserve"> </w:t>
      </w:r>
      <w:r>
        <w:t>section for help on how to interpret this report.</w:t>
      </w:r>
    </w:p>
    <w:p>
      <w:pPr>
        <w:pStyle w:val="Heading21"/>
      </w:pPr>
      <w:bookmarkStart w:id="9" w:name="school-profile"/>
      <w:r>
        <w:t>SCHOOL PROFILE</w:t>
      </w:r>
    </w:p>
    <w:p>
      <w:pPr>
        <w:pStyle w:val="Heading31"/>
      </w:pPr>
      <w:bookmarkStart w:id="10" w:name="enrolment-profile"/>
      <w:r>
        <w:t>Enrolment Profile</w:t>
      </w:r>
    </w:p>
    <w:p>
      <w:r>
        <w:t>A total of 123 students were enrolled at this school in 2025, 60 female and 63 male.</w:t>
      </w:r>
      <w:r>
        <w:t xml:space="preserve"> </w:t>
      </w:r>
      <w:r>
        <w:t>NDP had English as an additional language and NDP were Aboriginal or Torres Strait Islander.</w:t>
      </w:r>
      <w:r>
        <w:t xml:space="preserve"> </w:t>
      </w:r>
    </w:p>
    <w:p>
      <w:pPr>
        <w:pStyle w:val="Heading31"/>
      </w:pPr>
      <w:bookmarkEnd w:id="10"/>
      <w:bookmarkStart w:id="11" w:name="overall-socio-economic-profile"/>
      <w:r>
        <w:t>Overall Socio-Economic Profile</w:t>
      </w:r>
    </w:p>
    <w:p>
      <w:r>
        <w:t>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w:t>
      </w:r>
      <w:r>
        <w:t xml:space="preserve"> </w:t>
      </w:r>
      <w:r>
        <w:t>‘Low’</w:t>
      </w:r>
      <w:r>
        <w:t xml:space="preserve"> </w:t>
      </w:r>
      <w:r>
        <w:t>band represents a low level of socio-educational disadvantage, a</w:t>
      </w:r>
      <w:r>
        <w:t xml:space="preserve"> </w:t>
      </w:r>
      <w:r>
        <w:t>‘High’</w:t>
      </w:r>
      <w:r>
        <w:t xml:space="preserve"> </w:t>
      </w:r>
      <w:r>
        <w:t>band represents a high level of socio-educational disadvantage. This school’s SFOE band value is</w:t>
      </w:r>
      <w:r>
        <w:t xml:space="preserve"> </w:t>
      </w:r>
      <w:r>
        <w:rPr>
          <w:b/>
          <w:bCs/>
        </w:rPr>
        <w:t>Low - Medium</w:t>
      </w:r>
      <w:r>
        <w:t>.</w:t>
      </w:r>
    </w:p>
    <w:p>
      <w:pPr>
        <w:pStyle w:val="Heading31"/>
      </w:pPr>
      <w:bookmarkEnd w:id="11"/>
      <w:bookmarkStart w:id="12" w:name="parent-satisfaction-summary"/>
      <w:r>
        <w:t>Parent Satisfaction Summary</w:t>
      </w:r>
    </w:p>
    <w:p>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General School Satisfaction (Parent/Caregiver/Guardian Opinion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85.0%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161287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85.1%</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xmlns:r="http://schemas.openxmlformats.org/officeDocument/2006/relationships" r:embed="rId1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82.0%</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xmlns:r="http://schemas.openxmlformats.org/officeDocument/2006/relationships" r:embed="rId17"/>
                          <a:stretch>
                            <a:fillRect/>
                          </a:stretch>
                        </pic:blipFill>
                        <pic:spPr bwMode="auto">
                          <a:xfrm>
                            <a:off x="0" y="0"/>
                            <a:ext cx="10160" cy="2540"/>
                          </a:xfrm>
                          <a:prstGeom prst="rect">
                            <a:avLst/>
                          </a:prstGeom>
                          <a:noFill/>
                        </pic:spPr>
                      </pic:pic>
                    </a:graphicData>
                  </a:graphic>
                </wp:inline>
              </w:drawing>
            </w:r>
          </w:p>
        </w:tc>
      </w:tr>
    </w:tbl>
    <w:p>
      <w:pPr>
        <w:pStyle w:val="Heading31"/>
      </w:pPr>
      <w:bookmarkEnd w:id="12"/>
      <w:bookmarkStart w:id="13" w:name="school-staff-survey"/>
      <w:r>
        <w:t>School Staff Survey</w:t>
      </w:r>
    </w:p>
    <w:p>
      <w:r>
        <w:t>The percentage endorsement by staff on School Climate, as reported in the annual School Staff Survey. Percentage endorsement indicates the percent of positive responses (agree or strongly agree) from staff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School Climate (School Staff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92.7%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xmlns:r="http://schemas.openxmlformats.org/officeDocument/2006/relationships" r:embed="rId1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79.8%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46787508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77.4%</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xmlns:r="http://schemas.openxmlformats.org/officeDocument/2006/relationships" r:embed="rId20"/>
                          <a:stretch>
                            <a:fillRect/>
                          </a:stretch>
                        </pic:blipFill>
                        <pic:spPr bwMode="auto">
                          <a:xfrm>
                            <a:off x="0" y="0"/>
                            <a:ext cx="10160" cy="2540"/>
                          </a:xfrm>
                          <a:prstGeom prst="rect">
                            <a:avLst/>
                          </a:prstGeom>
                          <a:noFill/>
                        </pic:spPr>
                      </pic:pic>
                    </a:graphicData>
                  </a:graphic>
                </wp:inline>
              </w:drawing>
            </w:r>
          </w:p>
        </w:tc>
      </w:tr>
    </w:tbl>
    <w:p>
      <w:pPr>
        <w:pStyle w:val="Heading21"/>
      </w:pPr>
      <w:bookmarkEnd w:id="13"/>
      <w:bookmarkEnd w:id="9"/>
      <w:bookmarkStart w:id="14" w:name="learning"/>
      <w:r>
        <w:t>LEARNING</w:t>
      </w:r>
    </w:p>
    <w:p>
      <w:pPr>
        <w:pStyle w:val="Heading31"/>
      </w:pPr>
      <w:bookmarkStart w:id="15" w:name="Xd3002550eeab6e7db743681fe2e67981201cd7b"/>
      <w:r>
        <w:t>Teacher Judgement of student achievement against the Victorian Curriculum</w:t>
      </w:r>
    </w:p>
    <w:p>
      <w:r>
        <w:t>Percentage of students working at or above age expected standards in English and Mathematics.</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English Prep - 6 % of students at or above age expected standards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88.0%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83.0%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xmlns:r="http://schemas.openxmlformats.org/officeDocument/2006/relationships" r:embed="rId22"/>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86.3%</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xmlns:r="http://schemas.openxmlformats.org/officeDocument/2006/relationships" r:embed="rId2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Mathematics Prep - 6 % of students at or above age expected standards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85.9%</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80.5%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84.2%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xmlns:r="http://schemas.openxmlformats.org/officeDocument/2006/relationships" r:embed="rId24"/>
                          <a:stretch>
                            <a:fillRect/>
                          </a:stretch>
                        </pic:blipFill>
                        <pic:spPr bwMode="auto">
                          <a:xfrm>
                            <a:off x="0" y="0"/>
                            <a:ext cx="10160" cy="2540"/>
                          </a:xfrm>
                          <a:prstGeom prst="rect">
                            <a:avLst/>
                          </a:prstGeom>
                          <a:noFill/>
                        </pic:spPr>
                      </pic:pic>
                    </a:graphicData>
                  </a:graphic>
                </wp:inline>
              </w:drawing>
            </w:r>
          </w:p>
        </w:tc>
      </w:tr>
    </w:tbl>
    <w:p>
      <w:pPr>
        <w:pStyle w:val="Heading31"/>
      </w:pPr>
      <w:bookmarkEnd w:id="15"/>
      <w:bookmarkStart w:id="16" w:name="naplan"/>
      <w:r>
        <w:t>NAPLAN</w:t>
      </w:r>
    </w:p>
    <w:p>
      <w:r>
        <w:t>Percentage of students in the Strong or Exceeding proficiency levels in NAPLAN.</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3 % of students Strong or Exceeding proficiency levels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78.9%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xmlns:r="http://schemas.openxmlformats.org/officeDocument/2006/relationships" r:embed="rId25"/>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78.4%</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65.6%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xmlns:r="http://schemas.openxmlformats.org/officeDocument/2006/relationships" r:embed="rId2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62.9%</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69.3%</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5 %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77.3%</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71.7%</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xmlns:r="http://schemas.openxmlformats.org/officeDocument/2006/relationships" r:embed="rId29"/>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69.4%</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74.6%</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3 %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65.0%</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xmlns:r="http://schemas.openxmlformats.org/officeDocument/2006/relationships" r:embed="rId31"/>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73.6%</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xmlns:r="http://schemas.openxmlformats.org/officeDocument/2006/relationships" r:embed="rId3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64.1%</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xmlns:r="http://schemas.openxmlformats.org/officeDocument/2006/relationships" r:embed="rId33"/>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66.4%</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5 %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72.7%</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xmlns:r="http://schemas.openxmlformats.org/officeDocument/2006/relationships" r:embed="rId34"/>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70.0%</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xmlns:r="http://schemas.openxmlformats.org/officeDocument/2006/relationships" r:embed="rId2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63.2%</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68.1%</w:t>
            </w:r>
          </w:p>
        </w:tc>
      </w:tr>
    </w:tbl>
    <w:p>
      <w:pPr>
        <w:pStyle w:val="Heading31"/>
      </w:pPr>
      <w:bookmarkEnd w:id="16"/>
      <w:bookmarkStart w:id="17" w:name="naplan-relative-growth"/>
      <w:r>
        <w:t>NAPLAN relative growth</w:t>
      </w:r>
    </w:p>
    <w:p>
      <w:r>
        <w:t>The percentage of students in the High and Medium relative growth categories.</w:t>
      </w:r>
    </w:p>
    <w:p>
      <w:r>
        <w:t>Relative growth is determined by comparing a student’s current year result relative to the results of all</w:t>
      </w:r>
      <w:r>
        <w:t xml:space="preserve"> </w:t>
      </w:r>
      <w:r>
        <w:t>‘similar’</w:t>
      </w:r>
      <w:r>
        <w:t xml:space="preserve"> </w:t>
      </w:r>
      <w:r>
        <w:t>Victorian students (i.e., students in all sectors in the same year level who had the same score two years prior). If the current year result is in the top 25 percent, their gain level is categorised as</w:t>
      </w:r>
      <w:r>
        <w:t xml:space="preserve"> </w:t>
      </w:r>
      <w:r>
        <w:t>‘High’</w:t>
      </w:r>
      <w:r>
        <w:t>; middle 50 percent is</w:t>
      </w:r>
      <w:r>
        <w:t xml:space="preserve"> </w:t>
      </w:r>
      <w:r>
        <w:t>‘Medium’</w:t>
      </w:r>
      <w:r>
        <w:t>; bottom 25 percent is</w:t>
      </w:r>
      <w:r>
        <w:t xml:space="preserve"> </w:t>
      </w:r>
      <w:r>
        <w:t>‘Low’</w:t>
      </w:r>
      <w:r>
        <w:t>.</w:t>
      </w:r>
    </w:p>
    <w:p>
      <w:r>
        <w:t>A multi-year average for NAPLAN relative growth will be included in future years as data becomes available.</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3 to 5 % of students High or Medium relative growth</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66.7%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xmlns:r="http://schemas.openxmlformats.org/officeDocument/2006/relationships" r:embed="rId3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xmlns:r="http://schemas.openxmlformats.org/officeDocument/2006/relationships" r:embed="rId2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74.7%</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3 to 5 % of students High or Medium relative growth</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77.3%</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70.2%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xmlns:r="http://schemas.openxmlformats.org/officeDocument/2006/relationships" r:embed="rId2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74.0%</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r>
    </w:tbl>
    <w:p>
      <w:r>
        <w:br w:type="page"/>
      </w:r>
    </w:p>
    <w:p>
      <w:pPr>
        <w:pStyle w:val="Heading21"/>
      </w:pPr>
      <w:bookmarkEnd w:id="17"/>
      <w:bookmarkEnd w:id="14"/>
      <w:bookmarkStart w:id="18" w:name="wellbeing"/>
      <w:r>
        <w:t>WELLBEING</w:t>
      </w:r>
    </w:p>
    <w:p>
      <w:pPr>
        <w:pStyle w:val="Heading31"/>
      </w:pPr>
      <w:bookmarkStart w:id="19" w:name="X4f312c496442aa9386762e79446d80aa9d20262"/>
      <w:r>
        <w:t>Student Attitudes to School – Sense of Connectedness</w:t>
      </w:r>
    </w:p>
    <w:p>
      <w:r>
        <w:t>The percentage endorsement on Sense of Connectedness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4 to 6 %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81.8%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xmlns:r="http://schemas.openxmlformats.org/officeDocument/2006/relationships" r:embed="rId3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77.0%</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xmlns:r="http://schemas.openxmlformats.org/officeDocument/2006/relationships" r:embed="rId37"/>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75.1%</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xmlns:r="http://schemas.openxmlformats.org/officeDocument/2006/relationships" r:embed="rId38"/>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77.3%</w:t>
            </w:r>
          </w:p>
        </w:tc>
      </w:tr>
    </w:tbl>
    <w:p>
      <w:pPr>
        <w:pStyle w:val="Heading31"/>
      </w:pPr>
      <w:bookmarkEnd w:id="19"/>
      <w:bookmarkStart w:id="20" w:name="X6b86cdeac7af42d7b3a46c94b02d37acd34cd49"/>
      <w:r>
        <w:t>Student Attitudes to School – Managing Bullying</w:t>
      </w:r>
    </w:p>
    <w:p>
      <w:r>
        <w:t>The percentage endorsement on Management of Bullying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4 to 6 %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82.6%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79.8%</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xmlns:r="http://schemas.openxmlformats.org/officeDocument/2006/relationships" r:embed="rId40"/>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77.0%</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76.4%</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xmlns:r="http://schemas.openxmlformats.org/officeDocument/2006/relationships" r:embed="rId38"/>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75.8%</w:t>
            </w:r>
          </w:p>
        </w:tc>
      </w:tr>
    </w:tbl>
    <w:p>
      <w:r>
        <w:br w:type="page"/>
      </w:r>
    </w:p>
    <w:p>
      <w:pPr>
        <w:pStyle w:val="Heading21"/>
      </w:pPr>
      <w:bookmarkEnd w:id="20"/>
      <w:bookmarkEnd w:id="18"/>
      <w:bookmarkStart w:id="21" w:name="engagement"/>
      <w:r>
        <w:t>ENGAGEMENT</w:t>
      </w:r>
    </w:p>
    <w:p>
      <w:pPr>
        <w:pStyle w:val="Heading31"/>
      </w:pPr>
      <w:bookmarkStart w:id="22" w:name="average-absence-days-per-student"/>
      <w:r>
        <w:t>Average absence days per student</w:t>
      </w:r>
    </w:p>
    <w:p>
      <w:r>
        <w:t>Absence from school can impact on students’ learning. Common reasons for non-attendance include illness and extended family holidays.</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Prep - 6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19.4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21.6</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20.9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21.6</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21.7</w:t>
            </w:r>
          </w:p>
        </w:tc>
      </w:tr>
    </w:tbl>
    <w:p>
      <w:pPr>
        <w:pStyle w:val="Heading31"/>
      </w:pPr>
      <w:bookmarkEnd w:id="22"/>
      <w:bookmarkStart w:id="23" w:name="attendance-rate"/>
      <w:r>
        <w:t>Attendance rate</w:t>
      </w:r>
    </w:p>
    <w:p>
      <w:r>
        <w:t>Attendance rate refers to the average proportion of formal school days students in each year level attended.</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Prep</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93.2%</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1</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90.9%</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xmlns:r="http://schemas.openxmlformats.org/officeDocument/2006/relationships" r:embed="rId4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2</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89.6%</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xmlns:r="http://schemas.openxmlformats.org/officeDocument/2006/relationships" r:embed="rId4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3</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90.8%</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xmlns:r="http://schemas.openxmlformats.org/officeDocument/2006/relationships" r:embed="rId4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4</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90.3%</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xmlns:r="http://schemas.openxmlformats.org/officeDocument/2006/relationships" r:embed="rId4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5</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87.1%</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xmlns:r="http://schemas.openxmlformats.org/officeDocument/2006/relationships" r:embed="rId4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6</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90.6%</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xmlns:r="http://schemas.openxmlformats.org/officeDocument/2006/relationships" r:embed="rId43"/>
                          <a:stretch>
                            <a:fillRect/>
                          </a:stretch>
                        </pic:blipFill>
                        <pic:spPr bwMode="auto">
                          <a:xfrm>
                            <a:off x="0" y="0"/>
                            <a:ext cx="10160" cy="2540"/>
                          </a:xfrm>
                          <a:prstGeom prst="rect">
                            <a:avLst/>
                          </a:prstGeom>
                          <a:noFill/>
                        </pic:spPr>
                      </pic:pic>
                    </a:graphicData>
                  </a:graphic>
                </wp:inline>
              </w:drawing>
            </w:r>
          </w:p>
        </w:tc>
      </w:tr>
    </w:tbl>
    <w:p>
      <w:r>
        <w:br w:type="page"/>
      </w:r>
    </w:p>
    <w:p>
      <w:pPr>
        <w:pStyle w:val="Heading11"/>
      </w:pPr>
      <w:bookmarkEnd w:id="23"/>
      <w:bookmarkEnd w:id="21"/>
      <w:bookmarkEnd w:id="8"/>
      <w:bookmarkStart w:id="24" w:name="financial-performance-and-position"/>
      <w:r>
        <w:t>FINANCIAL PERFORMANCE AND POSITION</w:t>
      </w:r>
    </w:p>
    <w:p>
      <w:pPr>
        <w:pStyle w:val="Heading21"/>
      </w:pPr>
      <w:bookmarkStart w:id="25" w:name="X783dfaa01abb5b9bede6e86f0b21a1e5c51f7c7"/>
      <w:r>
        <w:t>FINANCIAL PERFORMANCE - OPERATING STATEMENT SUMMARY FOR THE YEAR ENDING 31 DECEMBER 2025</w:t>
      </w:r>
    </w:p>
    <w:p>
      <w:r>
        <w:t>Financial figures are as of 01 April 2026.</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Revenue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$1,668,768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Provided DET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$259,001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Commonwealth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$1,159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State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Revenue Other</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$40,309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Locally Raised Funds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$179,368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Revenue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$2,148,606</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$36,646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(Catch Up)</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 - Extraordinary Growth)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 Total</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$36,646</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The equity funding reported above is a subset of the overall revenue reported by the school.</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4"/>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Expenditure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r>
              <w:rPr>
                <w:rFonts w:ascii="Arial" w:eastAsia="Arial" w:hAnsi="Arial" w:cs="Arial"/>
                <w:b w:val="0"/>
                <w:i w:val="0"/>
                <w:strike w:val="0"/>
                <w:color w:val="000000"/>
                <w:sz w:val="20"/>
                <w:szCs w:val="20"/>
                <w:u w:val="none"/>
                <w:vertAlign w:val="superscript"/>
              </w:rPr>
              <w:t>1</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$1,710,352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Adjustments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Books &amp; Publications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$6,563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Camps/Excursions/Activities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$78,030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Communication Costs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$2,424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Consumables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$43,492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Miscellaneous Expenses</w:t>
            </w:r>
            <w:r>
              <w:rPr>
                <w:rFonts w:ascii="Arial" w:eastAsia="Arial" w:hAnsi="Arial" w:cs="Arial"/>
                <w:b w:val="0"/>
                <w:i w:val="0"/>
                <w:strike w:val="0"/>
                <w:color w:val="000000"/>
                <w:sz w:val="20"/>
                <w:szCs w:val="20"/>
                <w:u w:val="none"/>
                <w:vertAlign w:val="superscript"/>
              </w:rPr>
              <w:t>2</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$13,931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Agency Staff</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Professional Development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$11,971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Equipment/Maintenance/Hire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$25,938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Property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$37,736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Salaries &amp; Allowances</w:t>
            </w:r>
            <w:r>
              <w:rPr>
                <w:rFonts w:ascii="Arial" w:eastAsia="Arial" w:hAnsi="Arial" w:cs="Arial"/>
                <w:b w:val="0"/>
                <w:i w:val="0"/>
                <w:strike w:val="0"/>
                <w:color w:val="000000"/>
                <w:sz w:val="20"/>
                <w:szCs w:val="20"/>
                <w:u w:val="none"/>
                <w:vertAlign w:val="superscript"/>
              </w:rPr>
              <w:t>3</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$138,407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Support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$55,023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Trading &amp; Fundraising</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$24,301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Motor Vehicle Expenses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Travel &amp; Subsistence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Utilities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$20,770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Expenditure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$2,168,937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Net Operating Surplus/-Deficit</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($20,331)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Asset Acquisitions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$22,883</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1</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Student Resource Package Expenditure figures are subject to change during the reconciliation process.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2</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Miscellaneous Expenses include bank charges, administration expenses, insurance and taxation charges.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3</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Salaries and Allowances refers to school-level payroll.</w:t>
            </w:r>
          </w:p>
        </w:tc>
      </w:tr>
    </w:tbl>
    <w:p>
      <w:r>
        <w:t> </w:t>
      </w:r>
    </w:p>
    <w:p>
      <w:r>
        <w:br w:type="page"/>
      </w:r>
    </w:p>
    <w:p>
      <w:pPr>
        <w:pStyle w:val="Heading21"/>
      </w:pPr>
      <w:bookmarkEnd w:id="25"/>
      <w:bookmarkStart w:id="26" w:name="X27daf5a77578665f4d1993912609976214eb793"/>
      <w:r>
        <w:t>FINANCIAL POSITION AS AT 31 DECEMBER 2025</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Funds Available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High Yield Investment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$367,777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Official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$96,501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$29,030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Funds Available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$493,308</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00"/>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Financial Commitments</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Operating Reserve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$76,431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Recurrent Expenditure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Provision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Received in Advance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$18,526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School Based Programs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$80,889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Beneficiary/Memorial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Cooperative Bank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for Committees/Shared Arrangements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Repayable to the Department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Financial Commitments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$175,846</w:t>
            </w:r>
          </w:p>
        </w:tc>
      </w:tr>
    </w:tbl>
    <w:p>
      <w:r>
        <w:t> </w:t>
      </w:r>
    </w:p>
    <w:p>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p>
      <w:bookmarkEnd w:id="26"/>
      <w:bookmarkEnd w:id="24"/>
    </w:p>
    <w:sectPr>
      <w:footerReference w:type="default" r:id="rId45"/>
      <w:type w:val="nextPage"/>
      <w:pgSz w:w="11906" w:h="16838" w:orient="portrait"/>
      <w:pgMar w:top="1134" w:right="567" w:bottom="1701" w:left="567" w:header="0"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7B33"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4122842"/>
      <w:docPartObj>
        <w:docPartGallery w:val="Page Numbers (Bottom of Page)"/>
        <w:docPartUnique/>
      </w:docPartObj>
    </w:sdtPr>
    <w:sdtEndPr>
      <w:rPr>
        <w:color w:val="7F7F7F" w:themeColor="background1" w:themeShade="7F"/>
        <w:spacing w:val="60"/>
      </w:rPr>
    </w:sdtEndPr>
    <w:sdtContent>
      <w:p w:rsidR="00CB36E6"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sidR="003150F4">
          <w:rPr>
            <w:noProof/>
          </w:rPr>
          <w:t xml:space="preserve">  </w:t>
        </w:r>
        <w:r w:rsidR="00E31553">
          <w:rPr>
            <w:noProof/>
          </w:rPr>
          <w:t xml:space="preserve">                    </w:t>
        </w:r>
        <w:r>
          <w:rPr>
            <w:noProof/>
          </w:rPr>
          <w:drawing>
            <wp:inline distT="0" distB="0" distL="0" distR="0">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rsidR="00BB7B33" w:rsidRPr="003E29B5" w:rsidP="00B076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0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left w:val="nil"/>
        <w:bottom w:val="nil"/>
        <w:right w:val="nil"/>
      </w:pBdr>
      <w:tabs>
        <w:tab w:val="right" w:pos="10080"/>
      </w:tabs>
      <w:spacing w:before="0" w:after="0" w:line="240" w:lineRule="auto"/>
      <w:ind w:left="0" w:right="0" w:firstLine="0" w:firstLineChars="0"/>
      <w:jc w:val="left"/>
    </w:pPr>
    <w:r>
      <w:rPr>
        <w:rFonts w:ascii="Arial" w:eastAsia="Arial" w:hAnsi="Arial" w:cs="Arial"/>
        <w:b w:val="0"/>
        <w:i w:val="0"/>
        <w:strike w:val="0"/>
        <w:color w:val="000000"/>
        <w:sz w:val="16"/>
        <w:szCs w:val="16"/>
        <w:u w:val="none"/>
      </w:rPr>
      <w:fldChar w:fldCharType="begin"/>
    </w:r>
    <w:r>
      <w:rPr>
        <w:rFonts w:ascii="Arial" w:eastAsia="Arial" w:hAnsi="Arial" w:cs="Arial"/>
        <w:b w:val="0"/>
        <w:i w:val="0"/>
        <w:strike w:val="0"/>
        <w:color w:val="000000"/>
        <w:sz w:val="16"/>
        <w:szCs w:val="16"/>
        <w:u w:val="none"/>
      </w:rPr>
      <w:instrText>PAGE</w:instrText>
    </w:r>
    <w:r>
      <w:rPr>
        <w:rFonts w:ascii="Arial" w:eastAsia="Arial" w:hAnsi="Arial" w:cs="Arial"/>
        <w:b w:val="0"/>
        <w:i w:val="0"/>
        <w:strike w:val="0"/>
        <w:color w:val="000000"/>
        <w:sz w:val="16"/>
        <w:szCs w:val="16"/>
        <w:u w:val="none"/>
      </w:rPr>
      <w:fldChar w:fldCharType="separate"/>
    </w:r>
    <w:r>
      <w:rPr>
        <w:rFonts w:ascii="Arial" w:eastAsia="Arial" w:hAnsi="Arial" w:cs="Arial"/>
        <w:b w:val="0"/>
        <w:i w:val="0"/>
        <w:strike w:val="0"/>
        <w:color w:val="000000"/>
        <w:sz w:val="16"/>
        <w:szCs w:val="16"/>
        <w:u w:val="none"/>
      </w:rPr>
      <w:fldChar w:fldCharType="end"/>
    </w:r>
    <w:r>
      <w:rPr>
        <w:rFonts w:ascii="Arial" w:eastAsia="Arial" w:hAnsi="Arial" w:cs="Arial"/>
        <w:b w:val="0"/>
        <w:i w:val="0"/>
        <w:strike w:val="0"/>
        <w:color w:val="000000"/>
        <w:sz w:val="16"/>
        <w:szCs w:val="16"/>
        <w:u w:val="none"/>
      </w:rPr>
      <w:t xml:space="preserve"> | Department of Education</w:t>
    </w:r>
    <w:r>
      <w:tab/>
    </w:r>
    <w:r>
      <w:rPr>
        <w:rFonts w:ascii="Arial" w:eastAsia="Arial" w:hAnsi="Arial" w:cs="Arial"/>
        <w:b w:val="0"/>
        <w:i w:val="0"/>
        <w:strike w:val="0"/>
        <w:color w:val="000000"/>
        <w:sz w:val="16"/>
        <w:szCs w:val="16"/>
        <w:u w:val="none"/>
      </w:rPr>
      <w:t>Yea Primary School</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438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height:180pt;margin-left:0;margin-top:0;mso-position-horizontal:center;mso-position-horizontal-relative:page;mso-position-vertical:center;mso-position-vertical-relative:page;position:absolute;rotation:-40;width:500pt;z-index:251658240" fillcolor="#d3d3d3" strokecolor="#d3d3d3">
          <v:textpath style="font-family:&quot;Arial&quo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0813BF">
    <w:pPr>
      <w:pStyle w:val="Header"/>
      <w:tabs>
        <w:tab w:val="clear" w:pos="4513"/>
        <w:tab w:val="clear" w:pos="9026"/>
      </w:tabs>
      <w:ind w:left="-562" w:right="259"/>
    </w:pPr>
    <w:r>
      <w:rPr>
        <w:noProof/>
      </w:rPr>
      <w:drawing>
        <wp:inline distT="0" distB="0" distL="0" distR="0">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5408"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height:180pt;margin-left:0;margin-top:0;mso-position-horizontal:center;mso-position-horizontal-relative:page;mso-position-vertical:center;mso-position-vertical-relative:page;position:absolute;rotation:-40;width:500pt;z-index:251659264" fillcolor="#d3d3d3" strokecolor="#d3d3d3">
          <v:textpath style="font-family:&quot;Arial&quo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2336"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height:180pt;margin-left:0;margin-top:0;mso-position-horizontal:center;mso-position-horizontal-relative:page;mso-position-vertical:center;mso-position-vertical-relative:page;position:absolute;rotation:-40;width:500pt;z-index:251660288" fillcolor="#d3d3d3" strokecolor="#d3d3d3">
          <v:textpath style="font-family:&quot;Arial&quo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53EF8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35C4A8A"/>
    <w:lvl w:ilvl="0">
      <w:start w:val="1"/>
      <w:numFmt w:val="decimal"/>
      <w:lvlText w:val="%1."/>
      <w:lvlJc w:val="left"/>
      <w:pPr>
        <w:tabs>
          <w:tab w:val="num" w:pos="1492"/>
        </w:tabs>
        <w:ind w:left="1492" w:hanging="360"/>
      </w:pPr>
    </w:lvl>
  </w:abstractNum>
  <w:abstractNum w:abstractNumId="2">
    <w:nsid w:val="FFFFFF7D"/>
    <w:multiLevelType w:val="singleLevel"/>
    <w:tmpl w:val="13785984"/>
    <w:lvl w:ilvl="0">
      <w:start w:val="1"/>
      <w:numFmt w:val="decimal"/>
      <w:lvlText w:val="%1."/>
      <w:lvlJc w:val="left"/>
      <w:pPr>
        <w:tabs>
          <w:tab w:val="num" w:pos="1209"/>
        </w:tabs>
        <w:ind w:left="1209" w:hanging="360"/>
      </w:pPr>
    </w:lvl>
  </w:abstractNum>
  <w:abstractNum w:abstractNumId="3">
    <w:nsid w:val="FFFFFF7E"/>
    <w:multiLevelType w:val="singleLevel"/>
    <w:tmpl w:val="8050ED96"/>
    <w:lvl w:ilvl="0">
      <w:start w:val="1"/>
      <w:numFmt w:val="decimal"/>
      <w:lvlText w:val="%1."/>
      <w:lvlJc w:val="left"/>
      <w:pPr>
        <w:tabs>
          <w:tab w:val="num" w:pos="926"/>
        </w:tabs>
        <w:ind w:left="926" w:hanging="360"/>
      </w:pPr>
    </w:lvl>
  </w:abstractNum>
  <w:abstractNum w:abstractNumId="4">
    <w:nsid w:val="FFFFFF7F"/>
    <w:multiLevelType w:val="singleLevel"/>
    <w:tmpl w:val="14FC5E2A"/>
    <w:lvl w:ilvl="0">
      <w:start w:val="1"/>
      <w:numFmt w:val="decimal"/>
      <w:lvlText w:val="%1."/>
      <w:lvlJc w:val="left"/>
      <w:pPr>
        <w:tabs>
          <w:tab w:val="num" w:pos="643"/>
        </w:tabs>
        <w:ind w:left="643" w:hanging="360"/>
      </w:pPr>
    </w:lvl>
  </w:abstractNum>
  <w:abstractNum w:abstractNumId="5">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FBEA14C"/>
    <w:lvl w:ilvl="0">
      <w:start w:val="1"/>
      <w:numFmt w:val="decimal"/>
      <w:lvlText w:val="%1."/>
      <w:lvlJc w:val="left"/>
      <w:pPr>
        <w:tabs>
          <w:tab w:val="num" w:pos="360"/>
        </w:tabs>
        <w:ind w:left="360" w:hanging="360"/>
      </w:pPr>
    </w:lvl>
  </w:abstractNum>
  <w:abstractNum w:abstractNumId="1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nsid w:val="0D8D0F11"/>
    <w:multiLevelType w:val="hybridMultilevel"/>
    <w:tmpl w:val="28BC2626"/>
    <w:lvl w:ilvl="0">
      <w:start w:val="1"/>
      <w:numFmt w:val="bullet"/>
      <w:pStyle w:val="Bullet2"/>
      <w:lvlText w:val="–"/>
      <w:lvlJc w:val="left"/>
      <w:pPr>
        <w:ind w:left="644" w:hanging="360"/>
      </w:pPr>
      <w:rPr>
        <w:rFonts w:ascii="Arial" w:hAnsi="Arial"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2F5BA7"/>
    <w:multiLevelType w:val="hybridMultilevel"/>
    <w:tmpl w:val="60C841FC"/>
    <w:lvl w:ilvl="0">
      <w:start w:val="0"/>
      <w:numFmt w:val="bullet"/>
      <w:lvlText w:val="•"/>
      <w:lvlJc w:val="left"/>
      <w:pPr>
        <w:ind w:left="1080" w:hanging="72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2766D"/>
    <w:multiLevelType w:val="hybridMultilevel"/>
    <w:tmpl w:val="24BEF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A35373"/>
    <w:multiLevelType w:val="hybridMultilevel"/>
    <w:tmpl w:val="467A483A"/>
    <w:lvl w:ilvl="0">
      <w:start w:val="1"/>
      <w:numFmt w:val="decimal"/>
      <w:pStyle w:val="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6B7CD3"/>
    <w:multiLevelType w:val="hybridMultilevel"/>
    <w:tmpl w:val="D2EAFE46"/>
    <w:lvl w:ilvl="0">
      <w:start w:val="1"/>
      <w:numFmt w:val="bullet"/>
      <w:lvlText w:val="o"/>
      <w:lvlJc w:val="left"/>
      <w:pPr>
        <w:ind w:left="644"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5702BE"/>
    <w:multiLevelType w:val="hybridMultilevel"/>
    <w:tmpl w:val="D91CC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64396"/>
    <w:multiLevelType w:val="hybridMultilevel"/>
    <w:tmpl w:val="3E6E8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B619BD"/>
    <w:multiLevelType w:val="hybridMultilevel"/>
    <w:tmpl w:val="3070A5AC"/>
    <w:lvl w:ilvl="0">
      <w:start w:val="1"/>
      <w:numFmt w:val="lowerLetter"/>
      <w:pStyle w:val="Alphabetlist"/>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9">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B36AF8"/>
    <w:multiLevelType w:val="hybridMultilevel"/>
    <w:tmpl w:val="D1A8A6B2"/>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B36AF9"/>
    <w:multiLevelType w:val="multilevel"/>
    <w:tmpl w:val="00000000"/>
    <w:lvl w:ilvl="0">
      <w:start w:val="0"/>
      <w:numFmt w:val="bullet"/>
      <w:lvlText w:val=""/>
      <w:lvlJc w:val="left"/>
      <w:pPr>
        <w:ind w:left="720" w:hanging="360"/>
      </w:pPr>
      <w:rPr>
        <w:rFonts w:ascii="Symbol" w:hAnsi="Symbol" w:cs="Symbol" w:hint="default"/>
      </w:rPr>
    </w:lvl>
    <w:lvl w:ilvl="1">
      <w:start w:val="0"/>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Wingdings" w:hAnsi="Wingdings" w:cs="Wingdings" w:hint="default"/>
      </w:rPr>
    </w:lvl>
    <w:lvl w:ilvl="3">
      <w:start w:val="0"/>
      <w:numFmt w:val="bullet"/>
      <w:lvlText w:val=""/>
      <w:lvlJc w:val="left"/>
      <w:pPr>
        <w:ind w:left="2880" w:hanging="360"/>
      </w:pPr>
      <w:rPr>
        <w:rFonts w:ascii="Symbol" w:hAnsi="Symbol" w:cs="Symbol" w:hint="default"/>
      </w:rPr>
    </w:lvl>
    <w:lvl w:ilvl="4">
      <w:start w:val="0"/>
      <w:numFmt w:val="bullet"/>
      <w:lvlText w:val="o"/>
      <w:lvlJc w:val="left"/>
      <w:pPr>
        <w:ind w:left="3600" w:hanging="360"/>
      </w:pPr>
      <w:rPr>
        <w:rFonts w:ascii="Courier New" w:hAnsi="Courier New" w:cs="Courier New" w:hint="default"/>
      </w:rPr>
    </w:lvl>
    <w:lvl w:ilvl="5">
      <w:start w:val="0"/>
      <w:numFmt w:val="bullet"/>
      <w:lvlText w:val=""/>
      <w:lvlJc w:val="left"/>
      <w:pPr>
        <w:ind w:left="4320" w:hanging="360"/>
      </w:pPr>
      <w:rPr>
        <w:rFonts w:ascii="Wingdings" w:hAnsi="Wingdings" w:cs="Wingdings" w:hint="default"/>
      </w:rPr>
    </w:lvl>
    <w:lvl w:ilvl="6">
      <w:start w:val="0"/>
      <w:numFmt w:val="bullet"/>
      <w:lvlText w:val=""/>
      <w:lvlJc w:val="left"/>
      <w:pPr>
        <w:ind w:left="5040" w:hanging="360"/>
      </w:pPr>
      <w:rPr>
        <w:rFonts w:ascii="Symbol" w:hAnsi="Symbol" w:cs="Symbol" w:hint="default"/>
      </w:rPr>
    </w:lvl>
    <w:lvl w:ilvl="7">
      <w:start w:val="0"/>
      <w:numFmt w:val="bullet"/>
      <w:lvlText w:val="o"/>
      <w:lvlJc w:val="left"/>
      <w:pPr>
        <w:ind w:left="5760" w:hanging="360"/>
      </w:pPr>
      <w:rPr>
        <w:rFonts w:ascii="Courier New" w:hAnsi="Courier New" w:cs="Courier New" w:hint="default"/>
      </w:rPr>
    </w:lvl>
    <w:lvl w:ilvl="8">
      <w:start w:val="0"/>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9"/>
  </w:num>
  <w:num w:numId="14">
    <w:abstractNumId w:val="20"/>
  </w:num>
  <w:num w:numId="15">
    <w:abstractNumId w:val="14"/>
  </w:num>
  <w:num w:numId="16">
    <w:abstractNumId w:val="14"/>
    <w:lvlOverride w:ilvl="0">
      <w:startOverride w:val="1"/>
    </w:lvlOverride>
  </w:num>
  <w:num w:numId="17">
    <w:abstractNumId w:val="18"/>
  </w:num>
  <w:num w:numId="18">
    <w:abstractNumId w:val="13"/>
  </w:num>
  <w:num w:numId="19">
    <w:abstractNumId w:val="12"/>
  </w:num>
  <w:num w:numId="20">
    <w:abstractNumId w:val="11"/>
  </w:num>
  <w:num w:numId="21">
    <w:abstractNumId w:val="16"/>
  </w:num>
  <w:num w:numId="22">
    <w:abstractNumId w:val="17"/>
  </w:num>
  <w:num w:numId="23">
    <w:abstractNumId w:val="18"/>
  </w:num>
  <w:num w:numId="24">
    <w:abstractNumId w:val="21"/>
  </w:num>
  <w:num w:numId="25">
    <w:abstractNumId w:val="21"/>
  </w:num>
  <w:num w:numId="26">
    <w:abstractNumId w:val="21"/>
  </w:num>
  <w:num w:numId="27">
    <w:abstractNumId w:val="2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hAnsi="Arial" w:eastAsiaTheme="minorEastAsia"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hAnsi="Arial" w:eastAsiaTheme="minorEastAsia"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hAnsi="Arial" w:eastAsiaTheme="minorEastAsia"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hAnsi="Arial" w:eastAsiaTheme="minorEastAsia" w:cs="Arial"/>
      <w:sz w:val="18"/>
      <w:szCs w:val="11"/>
      <w:lang w:val="en-US"/>
    </w:rPr>
  </w:style>
  <w:style w:type="character" w:customStyle="1" w:styleId="FootnoteTextChar">
    <w:name w:val="Footnote Text Char"/>
    <w:basedOn w:val="DefaultParagraphFont"/>
    <w:link w:val="FootnoteText"/>
    <w:uiPriority w:val="99"/>
    <w:rsid w:val="00CD0C81"/>
    <w:rPr>
      <w:rFonts w:ascii="Arial" w:hAnsi="Arial" w:eastAsiaTheme="minorEastAsia"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hAnsi="Times New Roman" w:eastAsiaTheme="minorEastAsia"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hAnsi="Arial" w:eastAsiaTheme="majorEastAsia" w:cstheme="majorBidi"/>
      <w:bCs/>
      <w:color w:val="C00000"/>
      <w:sz w:val="24"/>
      <w:lang w:val="en-US"/>
    </w:rPr>
  </w:style>
  <w:style w:type="character" w:customStyle="1" w:styleId="Style1Char">
    <w:name w:val="Style1 Char"/>
    <w:basedOn w:val="DefaultParagraphFont"/>
    <w:link w:val="Style1"/>
    <w:rsid w:val="00BB7B33"/>
    <w:rPr>
      <w:rFonts w:ascii="Arial" w:hAnsi="Arial" w:eastAsiaTheme="majorEastAsia"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545"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545"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customXml" Target="../customXml/item1.xm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image" Target="media/image33.png" /><Relationship Id="rId44" Type="http://schemas.openxmlformats.org/officeDocument/2006/relationships/image" Target="media/image34.png" /><Relationship Id="rId45" Type="http://schemas.openxmlformats.org/officeDocument/2006/relationships/footer" Target="footer4.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3</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Reshma Karunakaran</cp:lastModifiedBy>
  <cp:revision>39</cp:revision>
  <dcterms:created xsi:type="dcterms:W3CDTF">2024-12-23T23:00:00Z</dcterms:created>
  <dcterms:modified xsi:type="dcterms:W3CDTF">2025-05-20T23:59:00Z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